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72" w:rsidRDefault="00622D72" w:rsidP="00622D72">
      <w:pPr>
        <w:rPr>
          <w:lang w:val="en-US"/>
        </w:rPr>
      </w:pPr>
      <w:r>
        <w:rPr>
          <w:lang w:val="en-US"/>
        </w:rPr>
        <w:t>Argument for “inflating” uncertainty:</w:t>
      </w:r>
    </w:p>
    <w:p w:rsidR="00622D72" w:rsidRDefault="00622D72" w:rsidP="00622D72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Dream world vs. realistic setting</w:t>
      </w:r>
    </w:p>
    <w:p w:rsidR="00622D72" w:rsidRDefault="00622D72" w:rsidP="00622D72">
      <w:pPr>
        <w:ind w:left="360"/>
        <w:rPr>
          <w:lang w:val="en-US"/>
        </w:rPr>
      </w:pPr>
    </w:p>
    <w:p w:rsidR="00622D72" w:rsidRPr="00BC7E67" w:rsidRDefault="00622D72" w:rsidP="00622D72">
      <w:pPr>
        <w:ind w:left="360"/>
        <w:rPr>
          <w:color w:val="2E74B5" w:themeColor="accent1" w:themeShade="BF"/>
          <w:lang w:val="en-US"/>
        </w:rPr>
      </w:pPr>
      <w:r w:rsidRPr="00BC7E67">
        <w:rPr>
          <w:color w:val="2E74B5" w:themeColor="accent1" w:themeShade="BF"/>
          <w:lang w:val="en-US"/>
        </w:rPr>
        <w:t>Dream world:</w:t>
      </w:r>
    </w:p>
    <w:p w:rsidR="00622D72" w:rsidRPr="00BC7E67" w:rsidRDefault="00622D72" w:rsidP="00622D72">
      <w:pPr>
        <w:ind w:left="360"/>
        <w:rPr>
          <w:color w:val="2E74B5" w:themeColor="accent1" w:themeShade="BF"/>
          <w:lang w:val="en-US"/>
        </w:rPr>
      </w:pPr>
      <w:r w:rsidRPr="00BC7E67">
        <w:rPr>
          <w:color w:val="2E74B5" w:themeColor="accent1" w:themeShade="BF"/>
          <w:lang w:val="en-US"/>
        </w:rPr>
        <w:t>Pros of the perfect world</w:t>
      </w:r>
    </w:p>
    <w:p w:rsidR="00622D72" w:rsidRPr="00BC7E67" w:rsidRDefault="00622D72" w:rsidP="00622D72">
      <w:pPr>
        <w:pStyle w:val="Listenabsatz"/>
        <w:numPr>
          <w:ilvl w:val="0"/>
          <w:numId w:val="1"/>
        </w:numPr>
        <w:rPr>
          <w:color w:val="2E74B5" w:themeColor="accent1" w:themeShade="BF"/>
          <w:lang w:val="en-US"/>
        </w:rPr>
      </w:pPr>
      <w:r w:rsidRPr="00BC7E67">
        <w:rPr>
          <w:color w:val="2E74B5" w:themeColor="accent1" w:themeShade="BF"/>
          <w:lang w:val="en-US"/>
        </w:rPr>
        <w:t>As much uncertainty as possible</w:t>
      </w:r>
    </w:p>
    <w:p w:rsidR="00622D72" w:rsidRPr="00BC7E67" w:rsidRDefault="00622D72" w:rsidP="00622D72">
      <w:pPr>
        <w:pStyle w:val="Listenabsatz"/>
        <w:numPr>
          <w:ilvl w:val="1"/>
          <w:numId w:val="1"/>
        </w:numPr>
        <w:rPr>
          <w:color w:val="2E74B5" w:themeColor="accent1" w:themeShade="BF"/>
          <w:lang w:val="en-US"/>
        </w:rPr>
      </w:pPr>
      <w:r w:rsidRPr="00BC7E67">
        <w:rPr>
          <w:color w:val="2E74B5" w:themeColor="accent1" w:themeShade="BF"/>
          <w:lang w:val="en-US"/>
        </w:rPr>
        <w:t>Information about uncertainty</w:t>
      </w:r>
    </w:p>
    <w:p w:rsidR="00622D72" w:rsidRPr="00BC7E67" w:rsidRDefault="00622D72" w:rsidP="00622D72">
      <w:pPr>
        <w:pStyle w:val="Listenabsatz"/>
        <w:numPr>
          <w:ilvl w:val="1"/>
          <w:numId w:val="1"/>
        </w:numPr>
        <w:rPr>
          <w:color w:val="2E74B5" w:themeColor="accent1" w:themeShade="BF"/>
          <w:lang w:val="en-US"/>
        </w:rPr>
      </w:pPr>
      <w:r w:rsidRPr="00BC7E67">
        <w:rPr>
          <w:color w:val="2E74B5" w:themeColor="accent1" w:themeShade="BF"/>
          <w:lang w:val="en-US"/>
        </w:rPr>
        <w:t xml:space="preserve">Reduce the </w:t>
      </w:r>
      <w:proofErr w:type="spellStart"/>
      <w:r w:rsidRPr="00BC7E67">
        <w:rPr>
          <w:color w:val="2E74B5" w:themeColor="accent1" w:themeShade="BF"/>
          <w:lang w:val="en-US"/>
        </w:rPr>
        <w:t>unkown</w:t>
      </w:r>
      <w:proofErr w:type="spellEnd"/>
      <w:r w:rsidRPr="00BC7E67">
        <w:rPr>
          <w:color w:val="2E74B5" w:themeColor="accent1" w:themeShade="BF"/>
          <w:lang w:val="en-US"/>
        </w:rPr>
        <w:t xml:space="preserve"> </w:t>
      </w:r>
      <w:proofErr w:type="spellStart"/>
      <w:r w:rsidRPr="00BC7E67">
        <w:rPr>
          <w:color w:val="2E74B5" w:themeColor="accent1" w:themeShade="BF"/>
          <w:lang w:val="en-US"/>
        </w:rPr>
        <w:t>unkown</w:t>
      </w:r>
      <w:proofErr w:type="spellEnd"/>
    </w:p>
    <w:p w:rsidR="00622D72" w:rsidRPr="00BC7E67" w:rsidRDefault="00622D72" w:rsidP="00622D72">
      <w:pPr>
        <w:pStyle w:val="Listenabsatz"/>
        <w:numPr>
          <w:ilvl w:val="1"/>
          <w:numId w:val="1"/>
        </w:numPr>
        <w:rPr>
          <w:color w:val="2E74B5" w:themeColor="accent1" w:themeShade="BF"/>
          <w:lang w:val="en-US"/>
        </w:rPr>
      </w:pPr>
      <w:r w:rsidRPr="00BC7E67">
        <w:rPr>
          <w:color w:val="2E74B5" w:themeColor="accent1" w:themeShade="BF"/>
          <w:lang w:val="en-US"/>
        </w:rPr>
        <w:t>Wider application possible</w:t>
      </w:r>
    </w:p>
    <w:p w:rsidR="00622D72" w:rsidRPr="00BC7E67" w:rsidRDefault="00622D72" w:rsidP="00622D72">
      <w:pPr>
        <w:pStyle w:val="Listenabsatz"/>
        <w:numPr>
          <w:ilvl w:val="1"/>
          <w:numId w:val="1"/>
        </w:numPr>
        <w:rPr>
          <w:color w:val="2E74B5" w:themeColor="accent1" w:themeShade="BF"/>
          <w:lang w:val="en-US"/>
        </w:rPr>
      </w:pPr>
      <w:r w:rsidRPr="00BC7E67">
        <w:rPr>
          <w:color w:val="2E74B5" w:themeColor="accent1" w:themeShade="BF"/>
          <w:lang w:val="en-US"/>
        </w:rPr>
        <w:t>Quantification uncertainty</w:t>
      </w:r>
    </w:p>
    <w:p w:rsidR="00622D72" w:rsidRPr="00BC7E67" w:rsidRDefault="00622D72" w:rsidP="00622D72">
      <w:pPr>
        <w:pStyle w:val="Listenabsatz"/>
        <w:numPr>
          <w:ilvl w:val="1"/>
          <w:numId w:val="1"/>
        </w:numPr>
        <w:rPr>
          <w:color w:val="2E74B5" w:themeColor="accent1" w:themeShade="BF"/>
          <w:lang w:val="en-US"/>
        </w:rPr>
      </w:pPr>
      <w:proofErr w:type="spellStart"/>
      <w:r w:rsidRPr="00BC7E67">
        <w:rPr>
          <w:color w:val="2E74B5" w:themeColor="accent1" w:themeShade="BF"/>
          <w:lang w:val="en-US"/>
        </w:rPr>
        <w:t>Probabilitic</w:t>
      </w:r>
      <w:proofErr w:type="spellEnd"/>
      <w:r w:rsidRPr="00BC7E67">
        <w:rPr>
          <w:color w:val="2E74B5" w:themeColor="accent1" w:themeShade="BF"/>
          <w:lang w:val="en-US"/>
        </w:rPr>
        <w:t xml:space="preserve"> information</w:t>
      </w:r>
    </w:p>
    <w:p w:rsidR="00622D72" w:rsidRPr="00BC7E67" w:rsidRDefault="00622D72" w:rsidP="00622D72">
      <w:pPr>
        <w:pStyle w:val="Listenabsatz"/>
        <w:numPr>
          <w:ilvl w:val="1"/>
          <w:numId w:val="1"/>
        </w:numPr>
        <w:rPr>
          <w:color w:val="2E74B5" w:themeColor="accent1" w:themeShade="BF"/>
          <w:lang w:val="en-US"/>
        </w:rPr>
      </w:pPr>
      <w:r w:rsidRPr="00BC7E67">
        <w:rPr>
          <w:color w:val="2E74B5" w:themeColor="accent1" w:themeShade="BF"/>
          <w:lang w:val="en-US"/>
        </w:rPr>
        <w:t>Robustness</w:t>
      </w:r>
    </w:p>
    <w:p w:rsidR="00622D72" w:rsidRPr="00BC7E67" w:rsidRDefault="00622D72" w:rsidP="00622D72">
      <w:pPr>
        <w:pStyle w:val="Listenabsatz"/>
        <w:numPr>
          <w:ilvl w:val="1"/>
          <w:numId w:val="1"/>
        </w:numPr>
        <w:rPr>
          <w:color w:val="2E74B5" w:themeColor="accent1" w:themeShade="BF"/>
          <w:lang w:val="en-US"/>
        </w:rPr>
      </w:pPr>
      <w:r w:rsidRPr="00BC7E67">
        <w:rPr>
          <w:color w:val="2E74B5" w:themeColor="accent1" w:themeShade="BF"/>
          <w:lang w:val="en-US"/>
        </w:rPr>
        <w:t>Past performance vs. future performance</w:t>
      </w:r>
    </w:p>
    <w:p w:rsidR="00622D72" w:rsidRPr="00BC7E67" w:rsidRDefault="00622D72" w:rsidP="00622D72">
      <w:pPr>
        <w:pStyle w:val="Listenabsatz"/>
        <w:numPr>
          <w:ilvl w:val="1"/>
          <w:numId w:val="1"/>
        </w:numPr>
        <w:rPr>
          <w:color w:val="2E74B5" w:themeColor="accent1" w:themeShade="BF"/>
          <w:lang w:val="en-US"/>
        </w:rPr>
      </w:pPr>
      <w:r w:rsidRPr="00BC7E67">
        <w:rPr>
          <w:color w:val="2E74B5" w:themeColor="accent1" w:themeShade="BF"/>
          <w:lang w:val="en-US"/>
        </w:rPr>
        <w:t xml:space="preserve">What is enough information? Could be assessed </w:t>
      </w:r>
    </w:p>
    <w:p w:rsidR="00622D72" w:rsidRPr="00BC7E67" w:rsidRDefault="00622D72" w:rsidP="00622D72">
      <w:pPr>
        <w:pStyle w:val="Listenabsatz"/>
        <w:numPr>
          <w:ilvl w:val="1"/>
          <w:numId w:val="1"/>
        </w:numPr>
        <w:rPr>
          <w:color w:val="2E74B5" w:themeColor="accent1" w:themeShade="BF"/>
          <w:lang w:val="en-US"/>
        </w:rPr>
      </w:pPr>
      <w:r w:rsidRPr="00BC7E67">
        <w:rPr>
          <w:color w:val="2E74B5" w:themeColor="accent1" w:themeShade="BF"/>
          <w:lang w:val="en-US"/>
        </w:rPr>
        <w:t>Time of emerging (signal-to-noise –ratio)</w:t>
      </w:r>
    </w:p>
    <w:p w:rsidR="00622D72" w:rsidRPr="00BC7E67" w:rsidRDefault="00622D72" w:rsidP="00622D72">
      <w:pPr>
        <w:pStyle w:val="Listenabsatz"/>
        <w:numPr>
          <w:ilvl w:val="2"/>
          <w:numId w:val="1"/>
        </w:numPr>
        <w:rPr>
          <w:color w:val="2E74B5" w:themeColor="accent1" w:themeShade="BF"/>
          <w:lang w:val="en-US"/>
        </w:rPr>
      </w:pPr>
      <w:r w:rsidRPr="00BC7E67">
        <w:rPr>
          <w:color w:val="2E74B5" w:themeColor="accent1" w:themeShade="BF"/>
          <w:lang w:val="en-US"/>
        </w:rPr>
        <w:t>Internal variability</w:t>
      </w:r>
    </w:p>
    <w:p w:rsidR="00622D72" w:rsidRPr="00BC7E67" w:rsidRDefault="00622D72" w:rsidP="00622D72">
      <w:pPr>
        <w:pStyle w:val="Listenabsatz"/>
        <w:numPr>
          <w:ilvl w:val="2"/>
          <w:numId w:val="1"/>
        </w:numPr>
        <w:rPr>
          <w:color w:val="2E74B5" w:themeColor="accent1" w:themeShade="BF"/>
          <w:lang w:val="en-US"/>
        </w:rPr>
      </w:pPr>
      <w:r w:rsidRPr="00BC7E67">
        <w:rPr>
          <w:color w:val="2E74B5" w:themeColor="accent1" w:themeShade="BF"/>
          <w:lang w:val="en-US"/>
        </w:rPr>
        <w:t>Realization (decadal)</w:t>
      </w:r>
    </w:p>
    <w:p w:rsidR="00622D72" w:rsidRPr="00BC7E67" w:rsidRDefault="00622D72" w:rsidP="00622D72">
      <w:pPr>
        <w:pStyle w:val="Listenabsatz"/>
        <w:numPr>
          <w:ilvl w:val="1"/>
          <w:numId w:val="1"/>
        </w:numPr>
        <w:rPr>
          <w:color w:val="2E74B5" w:themeColor="accent1" w:themeShade="BF"/>
          <w:lang w:val="en-US"/>
        </w:rPr>
      </w:pPr>
      <w:r w:rsidRPr="00BC7E67">
        <w:rPr>
          <w:color w:val="2E74B5" w:themeColor="accent1" w:themeShade="BF"/>
          <w:lang w:val="en-US"/>
        </w:rPr>
        <w:t>Access to data</w:t>
      </w:r>
    </w:p>
    <w:p w:rsidR="00622D72" w:rsidRPr="00BC7E67" w:rsidRDefault="00622D72" w:rsidP="00622D72">
      <w:pPr>
        <w:rPr>
          <w:color w:val="FF0000"/>
          <w:lang w:val="en-US"/>
        </w:rPr>
      </w:pPr>
      <w:r w:rsidRPr="00BC7E67">
        <w:rPr>
          <w:color w:val="FF0000"/>
          <w:lang w:val="en-US"/>
        </w:rPr>
        <w:t>Cons of perfect world</w:t>
      </w:r>
    </w:p>
    <w:p w:rsidR="00622D72" w:rsidRPr="00BC7E67" w:rsidRDefault="00622D72" w:rsidP="00622D72">
      <w:pPr>
        <w:pStyle w:val="Listenabsatz"/>
        <w:numPr>
          <w:ilvl w:val="0"/>
          <w:numId w:val="1"/>
        </w:numPr>
        <w:rPr>
          <w:color w:val="FF0000"/>
          <w:lang w:val="en-US"/>
        </w:rPr>
      </w:pPr>
      <w:r w:rsidRPr="00BC7E67">
        <w:rPr>
          <w:color w:val="FF0000"/>
          <w:lang w:val="en-US"/>
        </w:rPr>
        <w:t xml:space="preserve">Redundant information _&gt; </w:t>
      </w:r>
    </w:p>
    <w:p w:rsidR="00622D72" w:rsidRPr="00BC7E67" w:rsidRDefault="00622D72" w:rsidP="00622D72">
      <w:pPr>
        <w:pStyle w:val="Listenabsatz"/>
        <w:numPr>
          <w:ilvl w:val="1"/>
          <w:numId w:val="1"/>
        </w:numPr>
        <w:rPr>
          <w:color w:val="FF0000"/>
          <w:lang w:val="en-US"/>
        </w:rPr>
      </w:pPr>
      <w:r w:rsidRPr="00BC7E67">
        <w:rPr>
          <w:color w:val="FF0000"/>
          <w:lang w:val="en-US"/>
        </w:rPr>
        <w:t>Dependency of models</w:t>
      </w:r>
    </w:p>
    <w:p w:rsidR="00622D72" w:rsidRPr="00BC7E67" w:rsidRDefault="00622D72" w:rsidP="00622D72">
      <w:pPr>
        <w:pStyle w:val="Listenabsatz"/>
        <w:numPr>
          <w:ilvl w:val="1"/>
          <w:numId w:val="1"/>
        </w:numPr>
        <w:rPr>
          <w:color w:val="FF0000"/>
          <w:lang w:val="en-US"/>
        </w:rPr>
      </w:pPr>
      <w:proofErr w:type="spellStart"/>
      <w:r w:rsidRPr="00BC7E67">
        <w:rPr>
          <w:color w:val="FF0000"/>
          <w:lang w:val="en-US"/>
        </w:rPr>
        <w:t>Postprocessing</w:t>
      </w:r>
      <w:proofErr w:type="spellEnd"/>
      <w:r w:rsidRPr="00BC7E67">
        <w:rPr>
          <w:color w:val="FF0000"/>
          <w:lang w:val="en-US"/>
        </w:rPr>
        <w:t xml:space="preserve"> of uncertainty to get the uncertainty spread</w:t>
      </w:r>
    </w:p>
    <w:p w:rsidR="00622D72" w:rsidRPr="00BC7E67" w:rsidRDefault="00622D72" w:rsidP="00622D72">
      <w:pPr>
        <w:pStyle w:val="Listenabsatz"/>
        <w:numPr>
          <w:ilvl w:val="0"/>
          <w:numId w:val="1"/>
        </w:numPr>
        <w:rPr>
          <w:color w:val="FF0000"/>
          <w:lang w:val="en-US"/>
        </w:rPr>
      </w:pPr>
      <w:r w:rsidRPr="00BC7E67">
        <w:rPr>
          <w:color w:val="FF0000"/>
          <w:lang w:val="en-US"/>
        </w:rPr>
        <w:t>User information</w:t>
      </w:r>
    </w:p>
    <w:p w:rsidR="00622D72" w:rsidRPr="00BC7E67" w:rsidRDefault="00622D72" w:rsidP="00622D72">
      <w:pPr>
        <w:pStyle w:val="Listenabsatz"/>
        <w:numPr>
          <w:ilvl w:val="0"/>
          <w:numId w:val="1"/>
        </w:numPr>
        <w:rPr>
          <w:color w:val="FF0000"/>
          <w:lang w:val="en-US"/>
        </w:rPr>
      </w:pPr>
      <w:proofErr w:type="spellStart"/>
      <w:r w:rsidRPr="00BC7E67">
        <w:rPr>
          <w:color w:val="FF0000"/>
          <w:lang w:val="en-US"/>
        </w:rPr>
        <w:t>Unkowns</w:t>
      </w:r>
      <w:proofErr w:type="spellEnd"/>
      <w:r w:rsidRPr="00BC7E67">
        <w:rPr>
          <w:color w:val="FF0000"/>
          <w:lang w:val="en-US"/>
        </w:rPr>
        <w:t xml:space="preserve"> </w:t>
      </w:r>
      <w:proofErr w:type="spellStart"/>
      <w:r w:rsidRPr="00BC7E67">
        <w:rPr>
          <w:color w:val="FF0000"/>
          <w:lang w:val="en-US"/>
        </w:rPr>
        <w:t>unkowns</w:t>
      </w:r>
      <w:proofErr w:type="spellEnd"/>
      <w:r w:rsidRPr="00BC7E67">
        <w:rPr>
          <w:color w:val="FF0000"/>
          <w:lang w:val="en-US"/>
        </w:rPr>
        <w:t xml:space="preserve"> -&gt; “pragmatic solution”</w:t>
      </w:r>
    </w:p>
    <w:p w:rsidR="00622D72" w:rsidRPr="00BC7E67" w:rsidRDefault="00622D72" w:rsidP="00622D72">
      <w:pPr>
        <w:pStyle w:val="Listenabsatz"/>
        <w:numPr>
          <w:ilvl w:val="0"/>
          <w:numId w:val="1"/>
        </w:numPr>
        <w:rPr>
          <w:color w:val="FF0000"/>
          <w:lang w:val="en-US"/>
        </w:rPr>
      </w:pPr>
      <w:r w:rsidRPr="00BC7E67">
        <w:rPr>
          <w:color w:val="FF0000"/>
          <w:lang w:val="en-US"/>
        </w:rPr>
        <w:t>Constrain in resources</w:t>
      </w:r>
    </w:p>
    <w:p w:rsidR="00622D72" w:rsidRPr="00BC7E67" w:rsidRDefault="00622D72" w:rsidP="00622D72">
      <w:pPr>
        <w:pStyle w:val="Listenabsatz"/>
        <w:numPr>
          <w:ilvl w:val="0"/>
          <w:numId w:val="1"/>
        </w:numPr>
        <w:rPr>
          <w:color w:val="FF0000"/>
          <w:lang w:val="en-US"/>
        </w:rPr>
      </w:pPr>
      <w:r w:rsidRPr="00BC7E67">
        <w:rPr>
          <w:color w:val="FF0000"/>
          <w:lang w:val="en-US"/>
        </w:rPr>
        <w:t>Characterization of uncertainty</w:t>
      </w:r>
    </w:p>
    <w:p w:rsidR="00622D72" w:rsidRPr="00BC7E67" w:rsidRDefault="00622D72" w:rsidP="00622D72">
      <w:pPr>
        <w:pStyle w:val="Listenabsatz"/>
        <w:numPr>
          <w:ilvl w:val="0"/>
          <w:numId w:val="1"/>
        </w:numPr>
        <w:rPr>
          <w:color w:val="FF0000"/>
          <w:lang w:val="en-US"/>
        </w:rPr>
      </w:pPr>
      <w:r w:rsidRPr="00BC7E67">
        <w:rPr>
          <w:color w:val="FF0000"/>
          <w:lang w:val="en-US"/>
        </w:rPr>
        <w:t>“True model” lose momentum</w:t>
      </w:r>
    </w:p>
    <w:p w:rsidR="00622D72" w:rsidRPr="00BC7E67" w:rsidRDefault="00622D72" w:rsidP="00622D72">
      <w:pPr>
        <w:pStyle w:val="Listenabsatz"/>
        <w:numPr>
          <w:ilvl w:val="0"/>
          <w:numId w:val="1"/>
        </w:numPr>
        <w:rPr>
          <w:color w:val="FF0000"/>
          <w:lang w:val="en-US"/>
        </w:rPr>
      </w:pPr>
      <w:r w:rsidRPr="00BC7E67">
        <w:rPr>
          <w:color w:val="FF0000"/>
          <w:lang w:val="en-US"/>
        </w:rPr>
        <w:t>Internal variability -&gt; decadal projections (discussion on the internal variability)</w:t>
      </w:r>
    </w:p>
    <w:p w:rsidR="00622D72" w:rsidRDefault="00622D72" w:rsidP="00622D72">
      <w:pPr>
        <w:rPr>
          <w:lang w:val="en-US"/>
        </w:rPr>
      </w:pPr>
    </w:p>
    <w:p w:rsidR="00622D72" w:rsidRPr="00BC7E67" w:rsidRDefault="00622D72" w:rsidP="00622D72">
      <w:pPr>
        <w:rPr>
          <w:color w:val="00B050"/>
          <w:lang w:val="en-US"/>
        </w:rPr>
      </w:pPr>
      <w:r w:rsidRPr="00BC7E67">
        <w:rPr>
          <w:color w:val="00B050"/>
          <w:lang w:val="en-US"/>
        </w:rPr>
        <w:t>Restrictions to the perfect world:</w:t>
      </w:r>
    </w:p>
    <w:p w:rsidR="00622D72" w:rsidRPr="00BC7E67" w:rsidRDefault="00622D72" w:rsidP="00622D72">
      <w:pPr>
        <w:pStyle w:val="Listenabsatz"/>
        <w:numPr>
          <w:ilvl w:val="0"/>
          <w:numId w:val="3"/>
        </w:numPr>
        <w:rPr>
          <w:color w:val="00B050"/>
          <w:lang w:val="en-US"/>
        </w:rPr>
      </w:pPr>
      <w:r w:rsidRPr="00BC7E67">
        <w:rPr>
          <w:color w:val="00B050"/>
          <w:lang w:val="en-US"/>
        </w:rPr>
        <w:t xml:space="preserve">Time, money, work, resources -&gt; </w:t>
      </w:r>
      <w:proofErr w:type="spellStart"/>
      <w:r w:rsidRPr="00BC7E67">
        <w:rPr>
          <w:color w:val="00B050"/>
          <w:lang w:val="en-US"/>
        </w:rPr>
        <w:t>Sparce</w:t>
      </w:r>
      <w:proofErr w:type="spellEnd"/>
      <w:r w:rsidRPr="00BC7E67">
        <w:rPr>
          <w:color w:val="00B050"/>
          <w:lang w:val="en-US"/>
        </w:rPr>
        <w:t xml:space="preserve"> GCM, RCM matrix</w:t>
      </w:r>
    </w:p>
    <w:p w:rsidR="00622D72" w:rsidRPr="00BC7E67" w:rsidRDefault="00622D72" w:rsidP="00622D72">
      <w:pPr>
        <w:pStyle w:val="Listenabsatz"/>
        <w:numPr>
          <w:ilvl w:val="0"/>
          <w:numId w:val="3"/>
        </w:numPr>
        <w:rPr>
          <w:color w:val="00B050"/>
          <w:lang w:val="en-US"/>
        </w:rPr>
      </w:pPr>
      <w:r w:rsidRPr="00BC7E67">
        <w:rPr>
          <w:color w:val="00B050"/>
          <w:lang w:val="en-US"/>
        </w:rPr>
        <w:t>observations</w:t>
      </w:r>
    </w:p>
    <w:p w:rsidR="00622D72" w:rsidRPr="00BC7E67" w:rsidRDefault="00622D72" w:rsidP="00622D72">
      <w:pPr>
        <w:pStyle w:val="Listenabsatz"/>
        <w:numPr>
          <w:ilvl w:val="0"/>
          <w:numId w:val="3"/>
        </w:numPr>
        <w:rPr>
          <w:color w:val="00B050"/>
          <w:lang w:val="en-US"/>
        </w:rPr>
      </w:pPr>
      <w:r w:rsidRPr="00BC7E67">
        <w:rPr>
          <w:color w:val="00B050"/>
          <w:lang w:val="en-US"/>
        </w:rPr>
        <w:t>availability</w:t>
      </w:r>
    </w:p>
    <w:p w:rsidR="00622D72" w:rsidRPr="00BC7E67" w:rsidRDefault="00622D72" w:rsidP="00622D72">
      <w:pPr>
        <w:pStyle w:val="Listenabsatz"/>
        <w:numPr>
          <w:ilvl w:val="0"/>
          <w:numId w:val="3"/>
        </w:numPr>
        <w:rPr>
          <w:color w:val="00B050"/>
          <w:lang w:val="en-US"/>
        </w:rPr>
      </w:pPr>
      <w:r w:rsidRPr="00BC7E67">
        <w:rPr>
          <w:color w:val="00B050"/>
          <w:lang w:val="en-US"/>
        </w:rPr>
        <w:t>Non-</w:t>
      </w:r>
      <w:proofErr w:type="spellStart"/>
      <w:r w:rsidRPr="00BC7E67">
        <w:rPr>
          <w:color w:val="00B050"/>
          <w:lang w:val="en-US"/>
        </w:rPr>
        <w:t>stationarity</w:t>
      </w:r>
      <w:proofErr w:type="spellEnd"/>
      <w:r w:rsidRPr="00BC7E67">
        <w:rPr>
          <w:color w:val="00B050"/>
          <w:lang w:val="en-US"/>
        </w:rPr>
        <w:t xml:space="preserve"> of bias (</w:t>
      </w:r>
      <w:proofErr w:type="spellStart"/>
      <w:r w:rsidRPr="00BC7E67">
        <w:rPr>
          <w:color w:val="00B050"/>
          <w:lang w:val="en-US"/>
        </w:rPr>
        <w:t>transferfuntions</w:t>
      </w:r>
      <w:proofErr w:type="spellEnd"/>
      <w:r w:rsidRPr="00BC7E67">
        <w:rPr>
          <w:color w:val="00B050"/>
          <w:lang w:val="en-US"/>
        </w:rPr>
        <w:t>, model biases, etc…)</w:t>
      </w:r>
    </w:p>
    <w:p w:rsidR="00622D72" w:rsidRPr="00BC7E67" w:rsidRDefault="00622D72" w:rsidP="00622D72">
      <w:pPr>
        <w:pStyle w:val="Listenabsatz"/>
        <w:numPr>
          <w:ilvl w:val="0"/>
          <w:numId w:val="3"/>
        </w:numPr>
        <w:rPr>
          <w:color w:val="00B050"/>
          <w:lang w:val="en-US"/>
        </w:rPr>
      </w:pPr>
      <w:r w:rsidRPr="00BC7E67">
        <w:rPr>
          <w:color w:val="00B050"/>
          <w:lang w:val="en-US"/>
        </w:rPr>
        <w:t>Different experimental designs</w:t>
      </w:r>
    </w:p>
    <w:p w:rsidR="00622D72" w:rsidRDefault="00622D72" w:rsidP="00622D72">
      <w:pPr>
        <w:rPr>
          <w:lang w:val="en-US"/>
        </w:rPr>
      </w:pPr>
    </w:p>
    <w:p w:rsidR="00622D72" w:rsidRDefault="00622D72" w:rsidP="00622D72">
      <w:pPr>
        <w:rPr>
          <w:lang w:val="en-US"/>
        </w:rPr>
      </w:pPr>
      <w:r>
        <w:rPr>
          <w:lang w:val="en-US"/>
        </w:rPr>
        <w:t>Tailoring to user needs:</w:t>
      </w:r>
    </w:p>
    <w:p w:rsidR="00622D72" w:rsidRDefault="00622D72" w:rsidP="00622D72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Reduce redundancy -&gt; find the “true available known spread. </w:t>
      </w:r>
    </w:p>
    <w:p w:rsidR="00622D72" w:rsidRDefault="00622D72" w:rsidP="00622D72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Filter for mutual independency</w:t>
      </w:r>
    </w:p>
    <w:p w:rsidR="00622D72" w:rsidRDefault="00622D72" w:rsidP="00622D72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Response surfaces are a method to help concise the uncertainty spread</w:t>
      </w:r>
    </w:p>
    <w:p w:rsidR="00622D72" w:rsidRDefault="00622D72" w:rsidP="00622D72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Obs. Calibration by user vs. scale?</w:t>
      </w:r>
    </w:p>
    <w:p w:rsidR="00622D72" w:rsidRPr="00BC7E67" w:rsidRDefault="00622D72" w:rsidP="00622D72">
      <w:pPr>
        <w:rPr>
          <w:lang w:val="en-US"/>
        </w:rPr>
      </w:pPr>
    </w:p>
    <w:p w:rsidR="00622D72" w:rsidRDefault="00622D72" w:rsidP="00622D72">
      <w:pPr>
        <w:rPr>
          <w:lang w:val="en-US"/>
        </w:rPr>
      </w:pPr>
      <w:r>
        <w:rPr>
          <w:lang w:val="en-US"/>
        </w:rPr>
        <w:t>Citation Real world:</w:t>
      </w:r>
    </w:p>
    <w:p w:rsidR="00622D72" w:rsidRPr="003619F2" w:rsidRDefault="00622D72" w:rsidP="00622D72">
      <w:pPr>
        <w:pStyle w:val="Listenabsatz"/>
        <w:numPr>
          <w:ilvl w:val="0"/>
          <w:numId w:val="2"/>
        </w:numPr>
        <w:rPr>
          <w:lang w:val="en-US"/>
        </w:rPr>
      </w:pPr>
      <w:proofErr w:type="spellStart"/>
      <w:r w:rsidRPr="003619F2">
        <w:rPr>
          <w:lang w:val="en-US"/>
        </w:rPr>
        <w:t>Räisanen</w:t>
      </w:r>
      <w:proofErr w:type="spellEnd"/>
      <w:r w:rsidRPr="003619F2">
        <w:rPr>
          <w:lang w:val="en-US"/>
        </w:rPr>
        <w:t xml:space="preserve"> 2014, CMIP 2,3,5 are very similar, </w:t>
      </w:r>
      <w:proofErr w:type="spellStart"/>
      <w:r w:rsidRPr="003619F2">
        <w:rPr>
          <w:lang w:val="en-US"/>
        </w:rPr>
        <w:t>comparision</w:t>
      </w:r>
      <w:proofErr w:type="spellEnd"/>
      <w:r w:rsidRPr="003619F2">
        <w:rPr>
          <w:lang w:val="en-US"/>
        </w:rPr>
        <w:t>, redundancy</w:t>
      </w:r>
    </w:p>
    <w:p w:rsidR="00901E0A" w:rsidRPr="00622D72" w:rsidRDefault="00901E0A">
      <w:pPr>
        <w:rPr>
          <w:lang w:val="en-US"/>
        </w:rPr>
      </w:pPr>
      <w:bookmarkStart w:id="0" w:name="_GoBack"/>
      <w:bookmarkEnd w:id="0"/>
    </w:p>
    <w:sectPr w:rsidR="00901E0A" w:rsidRPr="00622D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D1808"/>
    <w:multiLevelType w:val="hybridMultilevel"/>
    <w:tmpl w:val="9AA2B504"/>
    <w:lvl w:ilvl="0" w:tplc="53ECEA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75211"/>
    <w:multiLevelType w:val="hybridMultilevel"/>
    <w:tmpl w:val="A92ED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E7796"/>
    <w:multiLevelType w:val="hybridMultilevel"/>
    <w:tmpl w:val="01429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5982"/>
    <w:multiLevelType w:val="hybridMultilevel"/>
    <w:tmpl w:val="3C5AB4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72"/>
    <w:rsid w:val="00622D72"/>
    <w:rsid w:val="006917D1"/>
    <w:rsid w:val="0090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E4A150-8A19-468F-8F62-15C257FD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2D72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2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Roessler, Ole</dc:creator>
  <cp:keywords/>
  <dc:description/>
  <cp:lastModifiedBy>Roessler, Ole</cp:lastModifiedBy>
  <cp:revision>1</cp:revision>
  <dcterms:created xsi:type="dcterms:W3CDTF">2015-06-17T09:47:00Z</dcterms:created>
  <dcterms:modified xsi:type="dcterms:W3CDTF">2015-06-17T09:48:00Z</dcterms:modified>
</cp:coreProperties>
</file>